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1BD28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7158E0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D5269B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6DAD940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15141FC" w14:textId="77777777" w:rsidTr="00A06425">
        <w:tc>
          <w:tcPr>
            <w:tcW w:w="562" w:type="dxa"/>
            <w:shd w:val="clear" w:color="auto" w:fill="auto"/>
            <w:vAlign w:val="center"/>
          </w:tcPr>
          <w:p w14:paraId="50F5FA7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62D8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5D516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208F9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D687E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CD7E3F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28B6631" w14:textId="77777777" w:rsidTr="00A06425">
        <w:tc>
          <w:tcPr>
            <w:tcW w:w="562" w:type="dxa"/>
            <w:shd w:val="clear" w:color="auto" w:fill="auto"/>
          </w:tcPr>
          <w:p w14:paraId="055D56C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D7289F" w14:textId="214ACF9F" w:rsidR="00A06425" w:rsidRPr="00A06425" w:rsidRDefault="00537CC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13E402B" w14:textId="7B794645" w:rsidR="00A06425" w:rsidRPr="00A06425" w:rsidRDefault="00537C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– wpływ na sektor finansów publicznych</w:t>
            </w:r>
          </w:p>
        </w:tc>
        <w:tc>
          <w:tcPr>
            <w:tcW w:w="4678" w:type="dxa"/>
            <w:shd w:val="clear" w:color="auto" w:fill="auto"/>
          </w:tcPr>
          <w:p w14:paraId="6C307461" w14:textId="4149B5AC" w:rsidR="00A06425" w:rsidRPr="00A06425" w:rsidRDefault="00BE592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zwraca uwagę, że w OSR do ustawy wymienione zostały wyłącznie wydatki, które mają zostać poniesione przez </w:t>
            </w:r>
            <w:proofErr w:type="spellStart"/>
            <w:r w:rsidR="00A06392">
              <w:rPr>
                <w:rFonts w:asciiTheme="minorHAnsi" w:hAnsiTheme="minorHAnsi" w:cstheme="minorHAnsi"/>
                <w:sz w:val="22"/>
                <w:szCs w:val="22"/>
              </w:rPr>
              <w:t>MRiPS</w:t>
            </w:r>
            <w:proofErr w:type="spellEnd"/>
            <w:r w:rsidR="00A06392">
              <w:rPr>
                <w:rFonts w:asciiTheme="minorHAnsi" w:hAnsiTheme="minorHAnsi" w:cstheme="minorHAnsi"/>
                <w:sz w:val="22"/>
                <w:szCs w:val="22"/>
              </w:rPr>
              <w:t>. W świetle art. 2 ust. 3 i konieczności zapewnienia integracji rozwiązania z systemem Punktu Informacji dla Przedsiębiorcy, konieczne w ocenie skutków finansowych jest przewidzenie wydatków związanych z dostosowaniem narzędzia do wymogów ustawy.</w:t>
            </w:r>
          </w:p>
        </w:tc>
        <w:tc>
          <w:tcPr>
            <w:tcW w:w="5812" w:type="dxa"/>
            <w:shd w:val="clear" w:color="auto" w:fill="auto"/>
          </w:tcPr>
          <w:p w14:paraId="19EDA760" w14:textId="3061F51B" w:rsidR="00A06425" w:rsidRPr="00A06425" w:rsidRDefault="00A0639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Dodanie informacji o wydatkach wynikających z konieczności zapewnienia integracji rozwiązania PIP według wyliczeń wskazanych w </w:t>
            </w:r>
            <w:r w:rsidR="004849B8">
              <w:rPr>
                <w:rFonts w:asciiTheme="minorHAnsi" w:hAnsiTheme="minorHAnsi" w:cstheme="minorHAnsi"/>
                <w:sz w:val="22"/>
                <w:szCs w:val="22"/>
              </w:rPr>
              <w:t xml:space="preserve">załączniku do </w:t>
            </w:r>
            <w:r w:rsidR="00FD15B3">
              <w:rPr>
                <w:rFonts w:asciiTheme="minorHAnsi" w:hAnsiTheme="minorHAnsi" w:cstheme="minorHAnsi"/>
                <w:sz w:val="22"/>
                <w:szCs w:val="22"/>
              </w:rPr>
              <w:t>tabeli uwag</w:t>
            </w:r>
          </w:p>
        </w:tc>
        <w:tc>
          <w:tcPr>
            <w:tcW w:w="1359" w:type="dxa"/>
          </w:tcPr>
          <w:p w14:paraId="4D3AC4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FF035EF" w14:textId="77777777" w:rsidTr="00A06425">
        <w:tc>
          <w:tcPr>
            <w:tcW w:w="562" w:type="dxa"/>
            <w:shd w:val="clear" w:color="auto" w:fill="auto"/>
          </w:tcPr>
          <w:p w14:paraId="18DC5A2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87BDA78" w14:textId="29268A1D" w:rsidR="00A06425" w:rsidRPr="00A06425" w:rsidRDefault="00537CC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27905F0" w14:textId="129F0E50" w:rsidR="00A06425" w:rsidRPr="00A06425" w:rsidRDefault="00537C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ustawy – Art. 4 ust. 1</w:t>
            </w:r>
          </w:p>
        </w:tc>
        <w:tc>
          <w:tcPr>
            <w:tcW w:w="4678" w:type="dxa"/>
            <w:shd w:val="clear" w:color="auto" w:fill="auto"/>
          </w:tcPr>
          <w:p w14:paraId="17E58196" w14:textId="5C094377" w:rsidR="00A06425" w:rsidRPr="00A06425" w:rsidRDefault="00537C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Ustawodawca przewiduje wśród funkcjonalności Systemu funkcjonalność rozwiązania umowy. Czy przedmiotowa kategoria obejmuje również obsługę związaną z wypowiedzeniem umowy? W ramach uwagi wnosimy o rozważenie czy funkcjonalności wypowiedzenia i rozwiązania umowy nie powinny zostać wymienione osobno.</w:t>
            </w:r>
          </w:p>
        </w:tc>
        <w:tc>
          <w:tcPr>
            <w:tcW w:w="5812" w:type="dxa"/>
            <w:shd w:val="clear" w:color="auto" w:fill="auto"/>
          </w:tcPr>
          <w:p w14:paraId="5AA91036" w14:textId="6FAABAB3" w:rsidR="00A06425" w:rsidRPr="00A06425" w:rsidRDefault="00537C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Według decyzji ustawodawcy</w:t>
            </w:r>
          </w:p>
        </w:tc>
        <w:tc>
          <w:tcPr>
            <w:tcW w:w="1359" w:type="dxa"/>
          </w:tcPr>
          <w:p w14:paraId="22DFD4B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ABA5EDD" w14:textId="77777777" w:rsidTr="00A06425">
        <w:tc>
          <w:tcPr>
            <w:tcW w:w="562" w:type="dxa"/>
            <w:shd w:val="clear" w:color="auto" w:fill="auto"/>
          </w:tcPr>
          <w:p w14:paraId="3D5220A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2BAEF26" w14:textId="7C5DCFB0" w:rsidR="00A06425" w:rsidRPr="00A06425" w:rsidRDefault="004956E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87547CB" w14:textId="3C9732A5" w:rsidR="00A06425" w:rsidRPr="00A06425" w:rsidRDefault="004956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ustawy – Art. 6</w:t>
            </w:r>
          </w:p>
        </w:tc>
        <w:tc>
          <w:tcPr>
            <w:tcW w:w="4678" w:type="dxa"/>
            <w:shd w:val="clear" w:color="auto" w:fill="auto"/>
          </w:tcPr>
          <w:p w14:paraId="30325995" w14:textId="77777777" w:rsidR="004956E8" w:rsidRPr="004956E8" w:rsidRDefault="004956E8" w:rsidP="004956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6E8">
              <w:rPr>
                <w:rFonts w:asciiTheme="minorHAnsi" w:hAnsiTheme="minorHAnsi" w:cstheme="minorHAnsi"/>
                <w:sz w:val="22"/>
                <w:szCs w:val="22"/>
              </w:rPr>
              <w:t>Proponujemy rozważenie zmiany projektowanego przepisu art. 6 w ten sposób, aby umowa o pracę w przypadku pracodawcy będącego osobą fizyczną prowadzącą działalność gospodarczą określała stałe miejsce wykonywania działalności albo, w razie jego nieposiadania adres do doręczeń, zamiast adresu zamieszkania. Osoba fizyczna nie posiada również siedziby.</w:t>
            </w:r>
          </w:p>
          <w:p w14:paraId="16A37FE6" w14:textId="77777777" w:rsidR="004956E8" w:rsidRPr="004956E8" w:rsidRDefault="004956E8" w:rsidP="004956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6E8">
              <w:rPr>
                <w:rFonts w:asciiTheme="minorHAnsi" w:hAnsiTheme="minorHAnsi" w:cstheme="minorHAnsi"/>
                <w:sz w:val="22"/>
                <w:szCs w:val="22"/>
              </w:rPr>
              <w:t xml:space="preserve">Osoby fizyczne prowadzące działalność gospodarczą posługują się adresem do doręczeń oraz </w:t>
            </w:r>
          </w:p>
          <w:p w14:paraId="196E5B12" w14:textId="77777777" w:rsidR="004956E8" w:rsidRPr="004956E8" w:rsidRDefault="004956E8" w:rsidP="004956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6E8">
              <w:rPr>
                <w:rFonts w:asciiTheme="minorHAnsi" w:hAnsiTheme="minorHAnsi" w:cstheme="minorHAnsi"/>
                <w:sz w:val="22"/>
                <w:szCs w:val="22"/>
              </w:rPr>
              <w:t xml:space="preserve">– jeżeli przedsiębiorca takie miejsce posiada – adresem stałego miejsca wykonywania działalności gospodarczej. </w:t>
            </w:r>
          </w:p>
          <w:p w14:paraId="39A88413" w14:textId="77777777" w:rsidR="004956E8" w:rsidRPr="004956E8" w:rsidRDefault="004956E8" w:rsidP="004956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6E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Zgodnie z art. 5 ust 1 pkt 6) ustawy z dnia 6 marca 2018 r. o Centralnej Ewidencji i Informacji o Działalności Gospodarczej i Punkcie Informacji dla Przedsiębiorcy (Dz. U. z 2020 r., poz. 2296), te dane ewidencyjne są wpisywane do CEIDG. Osoby fizyczne prowadzące działalność gospodarczą często są w posiadaniu lokali przeznaczonych na potrzeby prowadzenia działalności. W takim przypadku nie jest konieczne, aby zatrudniani pracownicy znali miejsce zamieszkania przedsiębiorcy, skoro jego tożsamość może być określona poprzez wskazanie miejsca wykonywania działalności. Zmiana art. 6 ust 1 pkt 2 spowoduje, że analogiczne dane dotyczące adresu będą wymagane od zleceniodawcy (art. 6 ust 2 pkt 2), będącego osobą fizyczną prowadzącą działalność gospodarczą.</w:t>
            </w:r>
          </w:p>
          <w:p w14:paraId="10DFB222" w14:textId="77777777" w:rsidR="004956E8" w:rsidRPr="004956E8" w:rsidRDefault="004956E8" w:rsidP="004956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6E8">
              <w:rPr>
                <w:rFonts w:asciiTheme="minorHAnsi" w:hAnsiTheme="minorHAnsi" w:cstheme="minorHAnsi"/>
                <w:sz w:val="22"/>
                <w:szCs w:val="22"/>
              </w:rPr>
              <w:t xml:space="preserve">Zwrócić należy uwagę, że powyższe koresponduje z przepisem art. 126 § 2 pkt 1) ustawy z dnia </w:t>
            </w:r>
          </w:p>
          <w:p w14:paraId="364FF90F" w14:textId="70C18509" w:rsidR="00A06425" w:rsidRPr="00A06425" w:rsidRDefault="004956E8" w:rsidP="004956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6E8">
              <w:rPr>
                <w:rFonts w:asciiTheme="minorHAnsi" w:hAnsiTheme="minorHAnsi" w:cstheme="minorHAnsi"/>
                <w:sz w:val="22"/>
                <w:szCs w:val="22"/>
              </w:rPr>
              <w:t>17 listopada 1964 r. Kodeks postępowania cywilnego (Dz. U. z 2021 r., poz. 1805), zgodnie z którym, gdy strona jest przedsiębiorcą wpisanym do Centralnej Ewidencji i Informacji o Działalności</w:t>
            </w:r>
          </w:p>
        </w:tc>
        <w:tc>
          <w:tcPr>
            <w:tcW w:w="5812" w:type="dxa"/>
            <w:shd w:val="clear" w:color="auto" w:fill="auto"/>
          </w:tcPr>
          <w:p w14:paraId="351284C6" w14:textId="5111BA9A" w:rsidR="00A06425" w:rsidRPr="00A06425" w:rsidRDefault="004956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Według decyzji ustawodawcy</w:t>
            </w:r>
          </w:p>
        </w:tc>
        <w:tc>
          <w:tcPr>
            <w:tcW w:w="1359" w:type="dxa"/>
          </w:tcPr>
          <w:p w14:paraId="227C6EF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61CB970" w14:textId="77777777" w:rsidTr="00A06425">
        <w:tc>
          <w:tcPr>
            <w:tcW w:w="562" w:type="dxa"/>
            <w:shd w:val="clear" w:color="auto" w:fill="auto"/>
          </w:tcPr>
          <w:p w14:paraId="7AD6094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002F6741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598D6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365B9D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097F4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09097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E3CDE96" w14:textId="77777777" w:rsidTr="00A06425">
        <w:tc>
          <w:tcPr>
            <w:tcW w:w="562" w:type="dxa"/>
            <w:shd w:val="clear" w:color="auto" w:fill="auto"/>
          </w:tcPr>
          <w:p w14:paraId="2702E45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4FEB19A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9F02C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DDB7B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82D71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255522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33DA1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849B8"/>
    <w:rsid w:val="004956E8"/>
    <w:rsid w:val="004D086F"/>
    <w:rsid w:val="00537CC6"/>
    <w:rsid w:val="0054350A"/>
    <w:rsid w:val="005969D1"/>
    <w:rsid w:val="005F6527"/>
    <w:rsid w:val="006705EC"/>
    <w:rsid w:val="006E16E9"/>
    <w:rsid w:val="00710A8A"/>
    <w:rsid w:val="00807385"/>
    <w:rsid w:val="00944932"/>
    <w:rsid w:val="009E5FDB"/>
    <w:rsid w:val="00A06392"/>
    <w:rsid w:val="00A06425"/>
    <w:rsid w:val="00AC7796"/>
    <w:rsid w:val="00B871B6"/>
    <w:rsid w:val="00BE592F"/>
    <w:rsid w:val="00C64B1B"/>
    <w:rsid w:val="00CD5EB0"/>
    <w:rsid w:val="00E14C33"/>
    <w:rsid w:val="00FD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9F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2</cp:revision>
  <dcterms:created xsi:type="dcterms:W3CDTF">2022-07-22T06:25:00Z</dcterms:created>
  <dcterms:modified xsi:type="dcterms:W3CDTF">2022-07-22T06:25:00Z</dcterms:modified>
</cp:coreProperties>
</file>